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交口县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instrText xml:space="preserve"> HYPERLINK "http://www.sxxingxian.gov.cn/uploadfile/2017/0615/20170615045223832.doc"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eastAsia="zh-CN"/>
        </w:rPr>
        <w:t>拟选派本土优秀人才到村挂职的行政村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end"/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水头镇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5个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）：上庄村、卫家崖村、赵村、铁金村、广武庄村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石口乡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19个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）：张家川村、岔口村、龙神殿村、贺家庄村、桥上村、丁家墕村、川口村、孔家庄村、山神峪村、岭后村、蒲依村、庄上村、石口村、郭家岭村、王家庄村、阳春堡村、下蒿城村、下村、陈家峪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康城镇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9个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）：尚家沟村、中村、杨家沟村、田家洼村、下仙村、康城村、丁家沟村、上村、炭腰吉村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回龙乡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4个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）：王润村、窑上村、均庄村、张家岭村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桃红坡镇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3个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）：红焰村、高家条村、西交子村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温泉乡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9个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）：石岭后村、郭家掌村、曹家社村、白兑庄村、城北沟村、响义村、古桑园村、闫家山村、庞子窊村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双池镇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  <w:t>）：枣林村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义启隶书体">
    <w:altName w:val="隶书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（附件</w:t>
    </w:r>
    <w:r>
      <w:rPr>
        <w:rFonts w:hint="eastAsia"/>
        <w:sz w:val="28"/>
        <w:szCs w:val="28"/>
        <w:lang w:val="en-US" w:eastAsia="zh-CN"/>
      </w:rPr>
      <w:t>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E4A98"/>
    <w:rsid w:val="02DA33B0"/>
    <w:rsid w:val="162D443F"/>
    <w:rsid w:val="199E4A98"/>
    <w:rsid w:val="37830C80"/>
    <w:rsid w:val="3F9F00B1"/>
    <w:rsid w:val="40C80956"/>
    <w:rsid w:val="56AA6A68"/>
    <w:rsid w:val="64E72B34"/>
    <w:rsid w:val="74AA4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2017-08-25T02:59:00Z</dcterms:created>
  <dc:creator>Administrator</dc:creator>
  <cp:lastModifiedBy>Administrator</cp:lastModifiedBy>
  <cp:lastPrinted>2017-08-25T07:21:29Z</cp:lastPrinted>
  <dcterms:modified xsi:type="dcterms:W3CDTF">2017-08-25T07:49:47Z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